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B436A" w14:textId="77777777" w:rsidR="005A45E5" w:rsidRDefault="0090470C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Rental Information for Private and Community Use</w:t>
      </w:r>
    </w:p>
    <w:p w14:paraId="3685FA66" w14:textId="77777777" w:rsidR="005A45E5" w:rsidRDefault="0090470C">
      <w:pPr>
        <w:pStyle w:val="normal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Of Heath Town Buildings</w:t>
      </w:r>
    </w:p>
    <w:p w14:paraId="4CE3DA12" w14:textId="77777777" w:rsidR="005A45E5" w:rsidRDefault="005A45E5">
      <w:pPr>
        <w:pStyle w:val="normal0"/>
      </w:pPr>
    </w:p>
    <w:p w14:paraId="5C31B529" w14:textId="77777777" w:rsidR="005A45E5" w:rsidRDefault="0090470C">
      <w:pPr>
        <w:pStyle w:val="normal0"/>
        <w:rPr>
          <w:b/>
        </w:rPr>
      </w:pPr>
      <w:r>
        <w:rPr>
          <w:b/>
        </w:rPr>
        <w:t>1. General</w:t>
      </w:r>
    </w:p>
    <w:p w14:paraId="79FFD0D0" w14:textId="77777777" w:rsidR="005A45E5" w:rsidRDefault="005A45E5">
      <w:pPr>
        <w:pStyle w:val="normal0"/>
        <w:rPr>
          <w:b/>
        </w:rPr>
      </w:pPr>
    </w:p>
    <w:p w14:paraId="65FAC37B" w14:textId="77777777" w:rsidR="005A45E5" w:rsidRDefault="0090470C">
      <w:pPr>
        <w:pStyle w:val="normal0"/>
        <w:rPr>
          <w:b/>
        </w:rPr>
      </w:pPr>
      <w:r>
        <w:t xml:space="preserve">The Community Hall and designated spaces at the Jacobs Road Municipal Building are available for short term rental (less than 9 months). If interested, you may submit an application to the Heath Building Use Committee (BUC). Some events may require a face-to-face meeting with the Committee before being booked. After you have read this document, if you have any questions please contact BUC member Lyra Johnson-Fuller at </w:t>
      </w:r>
      <w:r>
        <w:rPr>
          <w:b/>
        </w:rPr>
        <w:t>lyrajohnson@yahoo.com</w:t>
      </w:r>
      <w:r>
        <w:t xml:space="preserve">. For inquiries specific to kitchen rentals, please contact BUC member Alice Lee at </w:t>
      </w:r>
      <w:r>
        <w:rPr>
          <w:b/>
        </w:rPr>
        <w:t>alicelee727@gmail.com</w:t>
      </w:r>
    </w:p>
    <w:p w14:paraId="602A32B4" w14:textId="77777777" w:rsidR="005A45E5" w:rsidRDefault="005A45E5">
      <w:pPr>
        <w:pStyle w:val="normal0"/>
      </w:pPr>
    </w:p>
    <w:p w14:paraId="4DE8083E" w14:textId="77777777" w:rsidR="005A45E5" w:rsidRDefault="005A45E5">
      <w:pPr>
        <w:pStyle w:val="normal0"/>
      </w:pPr>
    </w:p>
    <w:p w14:paraId="59911F18" w14:textId="77777777" w:rsidR="00C13DA7" w:rsidRDefault="00C13DA7" w:rsidP="00C13DA7">
      <w:pPr>
        <w:pStyle w:val="normal0"/>
        <w:rPr>
          <w:b/>
        </w:rPr>
      </w:pPr>
      <w:r>
        <w:rPr>
          <w:b/>
        </w:rPr>
        <w:t>2. Fees</w:t>
      </w:r>
    </w:p>
    <w:p w14:paraId="2F62BD20" w14:textId="77777777" w:rsidR="00C13DA7" w:rsidRDefault="00C13DA7" w:rsidP="00C13DA7">
      <w:pPr>
        <w:pStyle w:val="normal0"/>
        <w:rPr>
          <w:b/>
        </w:rPr>
      </w:pPr>
    </w:p>
    <w:p w14:paraId="79FE538E" w14:textId="77777777" w:rsidR="005A45E5" w:rsidRDefault="0090470C">
      <w:pPr>
        <w:pStyle w:val="normal0"/>
      </w:pPr>
      <w:r>
        <w:t>● Renta</w:t>
      </w:r>
      <w:r w:rsidR="00C13DA7">
        <w:t>ls are charged by the block. A b</w:t>
      </w:r>
      <w:r>
        <w:t>lock is up to 4 hours.</w:t>
      </w:r>
    </w:p>
    <w:p w14:paraId="2CD8741C" w14:textId="77777777" w:rsidR="00C13DA7" w:rsidRDefault="0090470C" w:rsidP="00C13DA7">
      <w:pPr>
        <w:pStyle w:val="normal0"/>
      </w:pPr>
      <w:r>
        <w:t>● Heath residents and taxpayers receive a 20% discount.</w:t>
      </w:r>
    </w:p>
    <w:p w14:paraId="06EB2407" w14:textId="77777777" w:rsidR="005A45E5" w:rsidRDefault="0090470C" w:rsidP="00C13DA7">
      <w:pPr>
        <w:pStyle w:val="normal0"/>
      </w:pPr>
      <w:r>
        <w:t>● These fees are for short term uses. Anything over 9 months is considered long term use and</w:t>
      </w:r>
    </w:p>
    <w:p w14:paraId="05D1C975" w14:textId="77777777" w:rsidR="00C13DA7" w:rsidRDefault="0090470C" w:rsidP="00C13DA7">
      <w:pPr>
        <w:pStyle w:val="normal0"/>
      </w:pPr>
      <w:r>
        <w:t>must be n</w:t>
      </w:r>
      <w:r w:rsidR="00C13DA7">
        <w:t>egotiated with the Select Board.</w:t>
      </w:r>
    </w:p>
    <w:p w14:paraId="5C2A47B9" w14:textId="77777777" w:rsidR="00C13DA7" w:rsidRDefault="00C13DA7" w:rsidP="00C13DA7">
      <w:pPr>
        <w:pStyle w:val="normal0"/>
      </w:pPr>
      <w:r>
        <w:t xml:space="preserve">● </w:t>
      </w:r>
      <w:r w:rsidR="0090470C">
        <w:t>There are no fees for funerals or memorial events for town residents and taxpayers and their immediate families.</w:t>
      </w:r>
    </w:p>
    <w:p w14:paraId="5D0E6337" w14:textId="77777777" w:rsidR="005A45E5" w:rsidRDefault="00C13DA7">
      <w:pPr>
        <w:pStyle w:val="normal0"/>
      </w:pPr>
      <w:r>
        <w:t xml:space="preserve">● </w:t>
      </w:r>
      <w:r w:rsidR="0090470C">
        <w:t>Community events open to the public sponsored by a town board or committee, or where the fee is waived by the Select Board</w:t>
      </w:r>
      <w:r w:rsidR="00D24F2D">
        <w:t>, are exempt.</w:t>
      </w:r>
      <w:r w:rsidR="0090470C">
        <w:t xml:space="preserve"> Donations to support building upkeep are always welcome. The following rental fees apply to all other users. </w:t>
      </w:r>
    </w:p>
    <w:p w14:paraId="0C011B1C" w14:textId="77777777" w:rsidR="005A45E5" w:rsidRDefault="005A45E5">
      <w:pPr>
        <w:pStyle w:val="normal0"/>
      </w:pPr>
    </w:p>
    <w:p w14:paraId="2179CAC1" w14:textId="77777777" w:rsidR="005A45E5" w:rsidRDefault="005A45E5">
      <w:pPr>
        <w:pStyle w:val="normal0"/>
      </w:pPr>
    </w:p>
    <w:p w14:paraId="58640FD3" w14:textId="77777777" w:rsidR="005A45E5" w:rsidRDefault="005A45E5">
      <w:pPr>
        <w:pStyle w:val="normal0"/>
      </w:pPr>
    </w:p>
    <w:p w14:paraId="11BFF6F5" w14:textId="77777777" w:rsidR="005A45E5" w:rsidRDefault="0090470C">
      <w:pPr>
        <w:pStyle w:val="normal0"/>
        <w:rPr>
          <w:b/>
        </w:rPr>
      </w:pPr>
      <w:r>
        <w:rPr>
          <w:b/>
        </w:rPr>
        <w:t>Fee schedule</w:t>
      </w:r>
    </w:p>
    <w:p w14:paraId="0C71DEA9" w14:textId="77777777" w:rsidR="005A45E5" w:rsidRDefault="005A45E5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935"/>
        <w:gridCol w:w="2025"/>
        <w:gridCol w:w="1980"/>
      </w:tblGrid>
      <w:tr w:rsidR="005A45E5" w14:paraId="51B8B9FA" w14:textId="77777777">
        <w:trPr>
          <w:trHeight w:val="776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C214" w14:textId="77777777" w:rsidR="005A45E5" w:rsidRDefault="0090470C">
            <w:pPr>
              <w:pStyle w:val="normal0"/>
              <w:rPr>
                <w:b/>
              </w:rPr>
            </w:pPr>
            <w:r>
              <w:rPr>
                <w:b/>
              </w:rPr>
              <w:t>Jacobs Kitchen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3416" w14:textId="77777777" w:rsidR="005A45E5" w:rsidRDefault="0090470C">
            <w:pPr>
              <w:pStyle w:val="normal0"/>
            </w:pPr>
            <w:r>
              <w:t>Up to 4 hours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FA05" w14:textId="77777777" w:rsidR="005A45E5" w:rsidRDefault="0090470C">
            <w:pPr>
              <w:pStyle w:val="normal0"/>
            </w:pPr>
            <w:r>
              <w:t>Over 4 and up to 8 hours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7D57" w14:textId="77777777" w:rsidR="005A45E5" w:rsidRDefault="0090470C">
            <w:pPr>
              <w:pStyle w:val="normal0"/>
            </w:pPr>
            <w:r>
              <w:t>Over 8 hours</w:t>
            </w:r>
          </w:p>
          <w:p w14:paraId="26C43F2F" w14:textId="77777777" w:rsidR="005A45E5" w:rsidRDefault="0090470C">
            <w:pPr>
              <w:pStyle w:val="normal0"/>
            </w:pPr>
            <w:r>
              <w:t>and up to 12</w:t>
            </w:r>
          </w:p>
        </w:tc>
      </w:tr>
      <w:tr w:rsidR="005A45E5" w14:paraId="68FC440A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85BC" w14:textId="77777777" w:rsidR="005A45E5" w:rsidRDefault="0090470C">
            <w:pPr>
              <w:pStyle w:val="normal0"/>
            </w:pPr>
            <w:r>
              <w:t>Gym, Atrium or Cafeteria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55F1" w14:textId="77777777" w:rsidR="005A45E5" w:rsidRDefault="0090470C">
            <w:pPr>
              <w:pStyle w:val="normal0"/>
            </w:pPr>
            <w:r>
              <w:t>$35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AD75" w14:textId="77777777" w:rsidR="005A45E5" w:rsidRDefault="0090470C">
            <w:pPr>
              <w:pStyle w:val="normal0"/>
            </w:pPr>
            <w:r>
              <w:t>$70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301B" w14:textId="77777777" w:rsidR="005A45E5" w:rsidRDefault="0090470C">
            <w:pPr>
              <w:pStyle w:val="normal0"/>
            </w:pPr>
            <w:r>
              <w:t>$105</w:t>
            </w:r>
          </w:p>
        </w:tc>
      </w:tr>
      <w:tr w:rsidR="005A45E5" w14:paraId="44D49C8B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115F" w14:textId="77777777" w:rsidR="005A45E5" w:rsidRDefault="0090470C">
            <w:pPr>
              <w:pStyle w:val="normal0"/>
            </w:pPr>
            <w:r>
              <w:t>Kitchen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25E7" w14:textId="77777777" w:rsidR="005A45E5" w:rsidRDefault="0090470C">
            <w:pPr>
              <w:pStyle w:val="normal0"/>
            </w:pPr>
            <w:r>
              <w:t>$40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F831" w14:textId="77777777" w:rsidR="005A45E5" w:rsidRDefault="0090470C">
            <w:pPr>
              <w:pStyle w:val="normal0"/>
            </w:pPr>
            <w:r>
              <w:t>$80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5195" w14:textId="77777777" w:rsidR="005A45E5" w:rsidRDefault="0090470C">
            <w:pPr>
              <w:pStyle w:val="normal0"/>
            </w:pPr>
            <w:r>
              <w:t>$120</w:t>
            </w:r>
          </w:p>
        </w:tc>
      </w:tr>
      <w:tr w:rsidR="005A45E5" w14:paraId="74F109A1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4B0D" w14:textId="77777777" w:rsidR="005A45E5" w:rsidRDefault="0090470C">
            <w:pPr>
              <w:pStyle w:val="normal0"/>
            </w:pPr>
            <w:r>
              <w:t>Kitchen, Light Use*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14C" w14:textId="77777777" w:rsidR="005A45E5" w:rsidRDefault="0090470C">
            <w:pPr>
              <w:pStyle w:val="normal0"/>
            </w:pPr>
            <w:r>
              <w:t>$15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096B3" w14:textId="77777777" w:rsidR="005A45E5" w:rsidRDefault="0090470C">
            <w:pPr>
              <w:pStyle w:val="normal0"/>
            </w:pPr>
            <w:r>
              <w:t>$30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45EB" w14:textId="77777777" w:rsidR="005A45E5" w:rsidRDefault="0090470C">
            <w:pPr>
              <w:pStyle w:val="normal0"/>
            </w:pPr>
            <w:r>
              <w:t>$45</w:t>
            </w:r>
          </w:p>
        </w:tc>
      </w:tr>
      <w:tr w:rsidR="005A45E5" w14:paraId="61370E22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6DB5" w14:textId="77777777" w:rsidR="005A45E5" w:rsidRDefault="0090470C">
            <w:pPr>
              <w:pStyle w:val="normal0"/>
            </w:pPr>
            <w:r>
              <w:t>Exclusive Use of Grounds and All Available Rental spaces**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B236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AC52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$200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6C14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$400</w:t>
            </w:r>
          </w:p>
        </w:tc>
      </w:tr>
      <w:tr w:rsidR="005A45E5" w14:paraId="370E04B4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2A83" w14:textId="77777777" w:rsidR="005A45E5" w:rsidRDefault="0090470C">
            <w:pPr>
              <w:pStyle w:val="normal0"/>
              <w:rPr>
                <w:i/>
              </w:rPr>
            </w:pPr>
            <w:r>
              <w:t>Outdoor rental only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963F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9A45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296C" w14:textId="77777777" w:rsidR="005A45E5" w:rsidRDefault="0090470C">
            <w:pPr>
              <w:pStyle w:val="normal0"/>
            </w:pPr>
            <w:r>
              <w:rPr>
                <w:i/>
              </w:rPr>
              <w:t>Inquire for details</w:t>
            </w:r>
          </w:p>
        </w:tc>
      </w:tr>
      <w:tr w:rsidR="005A45E5" w14:paraId="2347F595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3998" w14:textId="77777777" w:rsidR="005A45E5" w:rsidRDefault="0090470C">
            <w:pPr>
              <w:pStyle w:val="normal0"/>
              <w:rPr>
                <w:i/>
              </w:rPr>
            </w:pPr>
            <w:r>
              <w:lastRenderedPageBreak/>
              <w:t>3-door refrigerator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4BA4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C119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B2ED" w14:textId="77777777" w:rsidR="005A45E5" w:rsidRDefault="0090470C">
            <w:pPr>
              <w:pStyle w:val="normal0"/>
            </w:pPr>
            <w:r>
              <w:rPr>
                <w:i/>
              </w:rPr>
              <w:t>Inquire for details</w:t>
            </w:r>
          </w:p>
        </w:tc>
      </w:tr>
      <w:tr w:rsidR="005A45E5" w14:paraId="78218643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138C" w14:textId="77777777" w:rsidR="005A45E5" w:rsidRDefault="0090470C">
            <w:pPr>
              <w:pStyle w:val="normal0"/>
              <w:rPr>
                <w:i/>
              </w:rPr>
            </w:pPr>
            <w:r>
              <w:t xml:space="preserve">Freezer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A119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219B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3C3C" w14:textId="77777777" w:rsidR="005A45E5" w:rsidRDefault="0090470C">
            <w:pPr>
              <w:pStyle w:val="normal0"/>
            </w:pPr>
            <w:r>
              <w:rPr>
                <w:i/>
              </w:rPr>
              <w:t>Inquire for details</w:t>
            </w:r>
          </w:p>
        </w:tc>
      </w:tr>
    </w:tbl>
    <w:p w14:paraId="3928A895" w14:textId="77777777" w:rsidR="005A45E5" w:rsidRDefault="005A45E5">
      <w:pPr>
        <w:pStyle w:val="normal0"/>
      </w:pPr>
    </w:p>
    <w:p w14:paraId="67D839DD" w14:textId="77777777" w:rsidR="005A45E5" w:rsidRDefault="005A45E5">
      <w:pPr>
        <w:pStyle w:val="normal0"/>
      </w:pPr>
    </w:p>
    <w:p w14:paraId="6D30B60A" w14:textId="77777777" w:rsidR="005A45E5" w:rsidRDefault="0090470C">
      <w:pPr>
        <w:pStyle w:val="normal0"/>
      </w:pPr>
      <w:r>
        <w:t>*Light use of the kitchen means using refrigeration (single door units only), plating food, counters and</w:t>
      </w:r>
      <w:r w:rsidR="00163ACE">
        <w:t xml:space="preserve"> </w:t>
      </w:r>
      <w:bookmarkStart w:id="0" w:name="_GoBack"/>
      <w:bookmarkEnd w:id="0"/>
      <w:r>
        <w:t>sinks. Does not include use of stove, dishwasher, other equipment.</w:t>
      </w:r>
    </w:p>
    <w:p w14:paraId="00C486E9" w14:textId="77777777" w:rsidR="005A45E5" w:rsidRDefault="0090470C">
      <w:pPr>
        <w:pStyle w:val="normal0"/>
      </w:pPr>
      <w:r>
        <w:t>**Includes outdoor areas, gym, atrium, cafeteria &amp;amp; kitchen.</w:t>
      </w:r>
    </w:p>
    <w:p w14:paraId="0E785411" w14:textId="77777777" w:rsidR="005A45E5" w:rsidRDefault="005A45E5">
      <w:pPr>
        <w:pStyle w:val="normal0"/>
      </w:pPr>
    </w:p>
    <w:p w14:paraId="393DC53A" w14:textId="77777777" w:rsidR="005A45E5" w:rsidRDefault="005A45E5">
      <w:pPr>
        <w:pStyle w:val="normal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5A45E5" w14:paraId="30EB209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1821" w14:textId="77777777" w:rsidR="005A45E5" w:rsidRDefault="0090470C">
            <w:pPr>
              <w:pStyle w:val="normal0"/>
              <w:rPr>
                <w:b/>
              </w:rPr>
            </w:pPr>
            <w:r>
              <w:rPr>
                <w:b/>
              </w:rPr>
              <w:t>Community Hall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61E3" w14:textId="77777777" w:rsidR="005A45E5" w:rsidRDefault="0090470C">
            <w:pPr>
              <w:pStyle w:val="normal0"/>
            </w:pPr>
            <w:r>
              <w:t>Up to 4 hours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0846" w14:textId="77777777" w:rsidR="005A45E5" w:rsidRDefault="0090470C">
            <w:pPr>
              <w:pStyle w:val="normal0"/>
            </w:pPr>
            <w:r>
              <w:t>Over 4 and up to 8 hours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31DC" w14:textId="77777777" w:rsidR="005A45E5" w:rsidRDefault="0090470C">
            <w:pPr>
              <w:pStyle w:val="normal0"/>
            </w:pPr>
            <w:r>
              <w:t>Over 8 hours</w:t>
            </w:r>
          </w:p>
          <w:p w14:paraId="453582E3" w14:textId="77777777" w:rsidR="005A45E5" w:rsidRDefault="0090470C">
            <w:pPr>
              <w:pStyle w:val="normal0"/>
            </w:pPr>
            <w:r>
              <w:t>and up to 12</w:t>
            </w:r>
          </w:p>
        </w:tc>
      </w:tr>
      <w:tr w:rsidR="005A45E5" w14:paraId="0435BFD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4BA7" w14:textId="77777777" w:rsidR="005A45E5" w:rsidRDefault="0090470C">
            <w:pPr>
              <w:pStyle w:val="normal0"/>
            </w:pPr>
            <w:r>
              <w:t>Per floor, no kitchen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21FB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6BA2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EA57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$60</w:t>
            </w:r>
          </w:p>
        </w:tc>
      </w:tr>
      <w:tr w:rsidR="005A45E5" w14:paraId="44B5E483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1903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3845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810B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$60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2B88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$90</w:t>
            </w:r>
          </w:p>
        </w:tc>
      </w:tr>
      <w:tr w:rsidR="005A45E5" w14:paraId="1A89138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42D8" w14:textId="77777777" w:rsidR="005A45E5" w:rsidRDefault="0090470C">
            <w:pPr>
              <w:pStyle w:val="normal0"/>
            </w:pPr>
            <w:r>
              <w:t>Light Use of Kitchen*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165D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A29C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16AF" w14:textId="77777777" w:rsidR="005A45E5" w:rsidRDefault="0090470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$45</w:t>
            </w:r>
          </w:p>
        </w:tc>
      </w:tr>
      <w:tr w:rsidR="005A45E5" w14:paraId="42463D8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5D90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1009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285A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BA91" w14:textId="77777777" w:rsidR="005A45E5" w:rsidRDefault="005A45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BB2E013" w14:textId="77777777" w:rsidR="005A45E5" w:rsidRDefault="005A45E5">
      <w:pPr>
        <w:pStyle w:val="normal0"/>
      </w:pPr>
    </w:p>
    <w:p w14:paraId="384AFAB1" w14:textId="77777777" w:rsidR="005A45E5" w:rsidRDefault="0090470C">
      <w:pPr>
        <w:pStyle w:val="normal0"/>
      </w:pPr>
      <w:r>
        <w:t>*Light use of the kitchen means using refrigeration, counters for plating food, and sinks for washing up. Does not include use of stove, dishwasher, other equipment.</w:t>
      </w:r>
    </w:p>
    <w:p w14:paraId="2F801E36" w14:textId="77777777" w:rsidR="005A45E5" w:rsidRDefault="005A45E5">
      <w:pPr>
        <w:pStyle w:val="normal0"/>
      </w:pPr>
    </w:p>
    <w:p w14:paraId="6113C326" w14:textId="77777777" w:rsidR="005A45E5" w:rsidRDefault="005A45E5">
      <w:pPr>
        <w:pStyle w:val="normal0"/>
      </w:pPr>
    </w:p>
    <w:p w14:paraId="4E327839" w14:textId="77777777" w:rsidR="005A45E5" w:rsidRDefault="00D24F2D">
      <w:pPr>
        <w:pStyle w:val="normal0"/>
      </w:pPr>
      <w:r>
        <w:rPr>
          <w:b/>
        </w:rPr>
        <w:t>3. Applications</w:t>
      </w:r>
    </w:p>
    <w:p w14:paraId="013B005F" w14:textId="77777777" w:rsidR="00D24F2D" w:rsidRDefault="00D24F2D">
      <w:pPr>
        <w:pStyle w:val="normal0"/>
      </w:pPr>
    </w:p>
    <w:p w14:paraId="4F89F1EF" w14:textId="77777777" w:rsidR="00D24F2D" w:rsidRPr="00D24F2D" w:rsidRDefault="00D24F2D" w:rsidP="00D24F2D">
      <w:pPr>
        <w:spacing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 w:rsidRPr="00D24F2D">
        <w:rPr>
          <w:color w:val="000000"/>
          <w:lang w:val="en-US"/>
        </w:rPr>
        <w:t>Application materials may be downloaded from the Building Use Committee web page or requested from the Town Coordinator, TownCoordinator@town</w:t>
      </w:r>
      <w:r>
        <w:rPr>
          <w:color w:val="000000"/>
          <w:lang w:val="en-US"/>
        </w:rPr>
        <w:t xml:space="preserve">ofheath.org, 413 337-4934, ex 000. </w:t>
      </w:r>
      <w:r w:rsidRPr="00D24F2D">
        <w:rPr>
          <w:rFonts w:eastAsia="Times New Roman"/>
          <w:color w:val="000000"/>
          <w:lang w:val="en-US"/>
        </w:rPr>
        <w:t>Applicants are responsible for inspecting facilities to dete</w:t>
      </w:r>
      <w:r>
        <w:rPr>
          <w:rFonts w:eastAsia="Times New Roman"/>
          <w:color w:val="000000"/>
          <w:lang w:val="en-US"/>
        </w:rPr>
        <w:t>rmine their suitability for rental</w:t>
      </w:r>
      <w:r w:rsidRPr="00D24F2D">
        <w:rPr>
          <w:rFonts w:eastAsia="Times New Roman"/>
          <w:color w:val="000000"/>
          <w:lang w:val="en-US"/>
        </w:rPr>
        <w:t xml:space="preserve"> purpose</w:t>
      </w:r>
      <w:r>
        <w:rPr>
          <w:rFonts w:eastAsia="Times New Roman"/>
          <w:color w:val="000000"/>
          <w:lang w:val="en-US"/>
        </w:rPr>
        <w:t>s</w:t>
      </w:r>
      <w:r w:rsidRPr="00D24F2D">
        <w:rPr>
          <w:rFonts w:eastAsia="Times New Roman"/>
          <w:color w:val="000000"/>
          <w:lang w:val="en-US"/>
        </w:rPr>
        <w:t>. The Town of Heath makes no warranty regarding the suitability of any facility for requested usage. Completed applications must be received at least 14 days prior to your event. </w:t>
      </w:r>
      <w:r w:rsidRPr="00D24F2D">
        <w:rPr>
          <w:rFonts w:eastAsia="Times New Roman"/>
          <w:color w:val="000000"/>
          <w:lang w:val="en-US"/>
        </w:rPr>
        <w:br/>
      </w:r>
    </w:p>
    <w:p w14:paraId="7A134B38" w14:textId="77777777" w:rsidR="00D24F2D" w:rsidRPr="00D24F2D" w:rsidRDefault="00D24F2D">
      <w:pPr>
        <w:pStyle w:val="normal0"/>
      </w:pPr>
    </w:p>
    <w:p w14:paraId="51399024" w14:textId="77777777" w:rsidR="005A45E5" w:rsidRDefault="005A45E5">
      <w:pPr>
        <w:pStyle w:val="normal0"/>
      </w:pPr>
    </w:p>
    <w:p w14:paraId="285B8507" w14:textId="77777777" w:rsidR="005A45E5" w:rsidRDefault="005A45E5">
      <w:pPr>
        <w:pStyle w:val="normal0"/>
      </w:pPr>
    </w:p>
    <w:p w14:paraId="5A0B301D" w14:textId="77777777" w:rsidR="005A45E5" w:rsidRDefault="005A45E5">
      <w:pPr>
        <w:pStyle w:val="normal0"/>
      </w:pPr>
    </w:p>
    <w:p w14:paraId="7A41A8D1" w14:textId="77777777" w:rsidR="005A45E5" w:rsidRDefault="005A45E5">
      <w:pPr>
        <w:pStyle w:val="normal0"/>
      </w:pPr>
    </w:p>
    <w:sectPr w:rsidR="005A45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474"/>
    <w:multiLevelType w:val="hybridMultilevel"/>
    <w:tmpl w:val="AA0A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470"/>
    <w:multiLevelType w:val="hybridMultilevel"/>
    <w:tmpl w:val="9922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635B6"/>
    <w:multiLevelType w:val="hybridMultilevel"/>
    <w:tmpl w:val="97A8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A428C"/>
    <w:multiLevelType w:val="hybridMultilevel"/>
    <w:tmpl w:val="7A1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429C"/>
    <w:multiLevelType w:val="hybridMultilevel"/>
    <w:tmpl w:val="27F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B2658"/>
    <w:multiLevelType w:val="hybridMultilevel"/>
    <w:tmpl w:val="547C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45E5"/>
    <w:rsid w:val="00163ACE"/>
    <w:rsid w:val="005A45E5"/>
    <w:rsid w:val="0090470C"/>
    <w:rsid w:val="00B3635C"/>
    <w:rsid w:val="00C13DA7"/>
    <w:rsid w:val="00D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57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4F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4F2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2311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 air</cp:lastModifiedBy>
  <cp:revision>2</cp:revision>
  <dcterms:created xsi:type="dcterms:W3CDTF">2024-10-07T03:50:00Z</dcterms:created>
  <dcterms:modified xsi:type="dcterms:W3CDTF">2024-10-07T04:51:00Z</dcterms:modified>
</cp:coreProperties>
</file>